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ind w:right="363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附件1：</w:t>
      </w:r>
    </w:p>
    <w:p>
      <w:pPr>
        <w:pStyle w:val="2"/>
        <w:widowControl/>
        <w:spacing w:beforeAutospacing="0" w:afterAutospacing="0" w:line="560" w:lineRule="exact"/>
        <w:ind w:right="363"/>
        <w:jc w:val="center"/>
        <w:rPr>
          <w:rFonts w:ascii="方正小标宋简体" w:hAnsi="方正小标宋简体" w:eastAsia="方正小标宋简体" w:cs="方正小标宋简体"/>
          <w:color w:val="0A0A0A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A0A0A"/>
          <w:sz w:val="36"/>
          <w:szCs w:val="36"/>
          <w:shd w:val="clear" w:color="auto" w:fill="FFFFFF"/>
        </w:rPr>
        <w:t>评分标准</w:t>
      </w:r>
    </w:p>
    <w:bookmarkEnd w:id="0"/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满分100分。</w:t>
      </w: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1.歌曲难易度（20分）：演唱连贯、流畅，无因不熟练而停顿或出现错误；</w:t>
      </w: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2.音准、节奏、歌词准确度（20分）：演唱时音准、节奏、歌词准确无误；</w:t>
      </w: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3.服装、服饰搭配（10分）：服装、服饰与歌曲搭配和谐；</w:t>
      </w: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4.曲目完整性（10分）：演唱完整、流畅；</w:t>
      </w: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5.演唱效果（30分）：能用歌曲所要表现的情绪进行演唱；</w:t>
      </w: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6.参赛队组队符合比赛要求（10分）：参赛队上场教职工数≥10人，得10分；每少一人，扣1分，扣完为止。</w:t>
      </w: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评分标准1至5项由聘请的专业评委现场打分，评分标准第6项由校工会和校团委组织有关人员另行现场计分。</w:t>
      </w: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ind w:left="363" w:right="363" w:firstLine="752" w:firstLineChars="235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331A8"/>
    <w:rsid w:val="1D6517D7"/>
    <w:rsid w:val="286331A8"/>
    <w:rsid w:val="71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2021-04-26T09:30:00Z</dcterms:created>
  <dc:creator>旭旭</dc:creator>
  <cp:lastModifiedBy>旭旭</cp:lastModifiedBy>
  <dcterms:modified xsi:type="dcterms:W3CDTF">2021-04-26T09:31:08Z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6527AFCD4D5147F0B3D5E2F59FDD7F89</vt:lpwstr>
  </property>
</Properties>
</file>